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9E" w:rsidRPr="00193B1A" w:rsidRDefault="00A33405" w:rsidP="00AE189E">
      <w:pPr>
        <w:widowControl/>
        <w:shd w:val="clear" w:color="auto" w:fill="FFFFFF"/>
        <w:spacing w:line="330" w:lineRule="atLeast"/>
        <w:jc w:val="center"/>
        <w:outlineLvl w:val="3"/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</w:pPr>
      <w:hyperlink r:id="rId6" w:history="1">
        <w:r w:rsidR="00AE189E" w:rsidRPr="00193B1A">
          <w:rPr>
            <w:rFonts w:ascii="Times New Roman" w:eastAsia="標楷體" w:hAnsi="Times New Roman" w:cs="Times New Roman"/>
            <w:color w:val="000000"/>
            <w:kern w:val="0"/>
            <w:sz w:val="30"/>
            <w:szCs w:val="30"/>
          </w:rPr>
          <w:t>國立交通大學跨域學程實施辦法</w:t>
        </w:r>
      </w:hyperlink>
    </w:p>
    <w:p w:rsidR="009B5B28" w:rsidRPr="00F27D19" w:rsidRDefault="00CA6631" w:rsidP="009B5B28">
      <w:pPr>
        <w:widowControl/>
        <w:shd w:val="clear" w:color="auto" w:fill="FFFFFF"/>
        <w:spacing w:line="330" w:lineRule="atLeast"/>
        <w:jc w:val="center"/>
        <w:outlineLvl w:val="3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F27D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Nat</w:t>
      </w:r>
      <w:r w:rsidR="004D5958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ional Chiao </w:t>
      </w:r>
      <w:r w:rsidRPr="00F27D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Tung University </w:t>
      </w:r>
    </w:p>
    <w:p w:rsidR="00CA6631" w:rsidRPr="00F27D19" w:rsidRDefault="00193B1A" w:rsidP="009B5B28">
      <w:pPr>
        <w:widowControl/>
        <w:shd w:val="clear" w:color="auto" w:fill="FFFFFF"/>
        <w:spacing w:line="330" w:lineRule="atLeast"/>
        <w:jc w:val="center"/>
        <w:outlineLvl w:val="3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Cross-</w:t>
      </w:r>
      <w:r w:rsidR="00F27D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disciplinary</w:t>
      </w:r>
      <w:r w:rsidR="00F2786B" w:rsidRPr="00F27D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Program </w:t>
      </w:r>
      <w:r w:rsidR="00E759B8" w:rsidRPr="00F27D19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Implementation R</w:t>
      </w:r>
      <w:r w:rsidR="00F27D19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egulation</w:t>
      </w:r>
      <w:r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s</w:t>
      </w:r>
    </w:p>
    <w:p w:rsidR="00AE189E" w:rsidRPr="00F27D19" w:rsidRDefault="00AE189E" w:rsidP="009B5B28">
      <w:pPr>
        <w:widowControl/>
        <w:shd w:val="clear" w:color="auto" w:fill="FFFFFF"/>
        <w:spacing w:line="330" w:lineRule="atLeast"/>
        <w:jc w:val="center"/>
        <w:outlineLvl w:val="3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1438AF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第一條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國立交通大學</w:t>
      </w:r>
      <w:r w:rsidRPr="00F27D19">
        <w:rPr>
          <w:rFonts w:ascii="Times New Roman" w:eastAsia="標楷體" w:hAnsi="Times New Roman" w:cs="Times New Roman"/>
          <w:color w:val="000000"/>
        </w:rPr>
        <w:t>(</w:t>
      </w:r>
      <w:r w:rsidRPr="00F27D19">
        <w:rPr>
          <w:rFonts w:ascii="Times New Roman" w:eastAsia="標楷體" w:hAnsi="Times New Roman" w:cs="Times New Roman"/>
          <w:color w:val="000000"/>
        </w:rPr>
        <w:t>以下簡稱本校</w:t>
      </w:r>
      <w:r w:rsidRPr="00F27D19">
        <w:rPr>
          <w:rFonts w:ascii="Times New Roman" w:eastAsia="標楷體" w:hAnsi="Times New Roman" w:cs="Times New Roman"/>
          <w:color w:val="000000"/>
        </w:rPr>
        <w:t>)</w:t>
      </w:r>
      <w:r w:rsidRPr="00F27D19">
        <w:rPr>
          <w:rFonts w:ascii="Times New Roman" w:eastAsia="標楷體" w:hAnsi="Times New Roman" w:cs="Times New Roman"/>
          <w:color w:val="000000"/>
        </w:rPr>
        <w:t>為鼓勵學生進行跨領域學習，建立跨域學習深度，協助學生拓展第二專長，提供學生可以在畢業學分不增加</w:t>
      </w:r>
      <w:r w:rsidRPr="00F27D19">
        <w:rPr>
          <w:rFonts w:ascii="Times New Roman" w:eastAsia="標楷體" w:hAnsi="Times New Roman" w:cs="Times New Roman"/>
          <w:color w:val="000000"/>
        </w:rPr>
        <w:t>(</w:t>
      </w:r>
      <w:r w:rsidRPr="00F27D19">
        <w:rPr>
          <w:rFonts w:ascii="Times New Roman" w:eastAsia="標楷體" w:hAnsi="Times New Roman" w:cs="Times New Roman"/>
          <w:color w:val="000000"/>
        </w:rPr>
        <w:t>或僅少量增加</w:t>
      </w:r>
      <w:r w:rsidRPr="00F27D19">
        <w:rPr>
          <w:rFonts w:ascii="Times New Roman" w:eastAsia="標楷體" w:hAnsi="Times New Roman" w:cs="Times New Roman"/>
          <w:color w:val="000000"/>
        </w:rPr>
        <w:t>)</w:t>
      </w:r>
      <w:r w:rsidRPr="00F27D19">
        <w:rPr>
          <w:rFonts w:ascii="Times New Roman" w:eastAsia="標楷體" w:hAnsi="Times New Roman" w:cs="Times New Roman"/>
          <w:color w:val="000000"/>
        </w:rPr>
        <w:t>情況下，修畢跨域學程，特訂定本辦法。</w:t>
      </w:r>
    </w:p>
    <w:p w:rsidR="001438AF" w:rsidRPr="00F27D19" w:rsidRDefault="008700A1" w:rsidP="004E57E6">
      <w:pPr>
        <w:widowControl/>
        <w:shd w:val="clear" w:color="auto" w:fill="FFFFFF"/>
        <w:spacing w:line="330" w:lineRule="atLeast"/>
        <w:ind w:left="1400" w:hangingChars="7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</w:t>
      </w:r>
      <w:r w:rsidR="004E57E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rticle One</w:t>
      </w:r>
      <w:r w:rsidR="004E57E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597E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regulation</w:t>
      </w:r>
      <w:r w:rsidR="00597E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 are set up for </w:t>
      </w:r>
      <w:r w:rsidR="004D5958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National Chiao 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Tung University (hereinafter refer to as Our University) </w:t>
      </w:r>
      <w:r w:rsidR="00597E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to 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provide the opportunity for students to </w:t>
      </w:r>
      <w:r w:rsidR="0067103D" w:rsidRP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proceed</w:t>
      </w:r>
      <w:r w:rsidR="0067103D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disciplinary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67103D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learning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without</w:t>
      </w:r>
      <w:r w:rsidR="000A265E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increasing graduate credits (or only </w:t>
      </w:r>
      <w:r w:rsidR="008A4DF0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a few extra credits) in order to encourage students to conduct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disciplinary</w:t>
      </w:r>
      <w:r w:rsidR="008A4DF0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study, build the depth of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8A4DF0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study, and assist students to expand second </w:t>
      </w:r>
      <w:r w:rsidR="00597E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specialty. 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第二條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本辦法所稱跨域學程，係指由學系、研究所，或學院提出跨域學程模組課程，模組課程應包含該領域基礎核心知識，且總學分數以</w:t>
      </w:r>
      <w:r w:rsidRPr="00F27D19">
        <w:rPr>
          <w:rFonts w:ascii="Times New Roman" w:eastAsia="標楷體" w:hAnsi="Times New Roman" w:cs="Times New Roman"/>
          <w:color w:val="000000"/>
        </w:rPr>
        <w:t>30</w:t>
      </w:r>
      <w:r w:rsidRPr="00F27D19">
        <w:rPr>
          <w:rFonts w:ascii="Times New Roman" w:eastAsia="標楷體" w:hAnsi="Times New Roman" w:cs="Times New Roman"/>
          <w:color w:val="000000"/>
        </w:rPr>
        <w:t>學分為原則</w:t>
      </w:r>
      <w:r w:rsidRPr="00F27D19">
        <w:rPr>
          <w:rFonts w:ascii="Times New Roman" w:eastAsia="標楷體" w:hAnsi="Times New Roman" w:cs="Times New Roman"/>
          <w:color w:val="000000"/>
        </w:rPr>
        <w:t>(</w:t>
      </w:r>
      <w:r w:rsidRPr="00F27D19">
        <w:rPr>
          <w:rFonts w:ascii="Times New Roman" w:eastAsia="標楷體" w:hAnsi="Times New Roman" w:cs="Times New Roman"/>
          <w:color w:val="000000"/>
        </w:rPr>
        <w:t>最低可為</w:t>
      </w:r>
      <w:r w:rsidRPr="00F27D19">
        <w:rPr>
          <w:rFonts w:ascii="Times New Roman" w:eastAsia="標楷體" w:hAnsi="Times New Roman" w:cs="Times New Roman"/>
          <w:color w:val="000000"/>
        </w:rPr>
        <w:t>28</w:t>
      </w:r>
      <w:r w:rsidRPr="00F27D19">
        <w:rPr>
          <w:rFonts w:ascii="Times New Roman" w:eastAsia="標楷體" w:hAnsi="Times New Roman" w:cs="Times New Roman"/>
          <w:color w:val="000000"/>
        </w:rPr>
        <w:t>學分，最高不可超過</w:t>
      </w:r>
      <w:r w:rsidRPr="00F27D19">
        <w:rPr>
          <w:rFonts w:ascii="Times New Roman" w:eastAsia="標楷體" w:hAnsi="Times New Roman" w:cs="Times New Roman"/>
          <w:color w:val="000000"/>
        </w:rPr>
        <w:t>32</w:t>
      </w:r>
      <w:r w:rsidRPr="00F27D19">
        <w:rPr>
          <w:rFonts w:ascii="Times New Roman" w:eastAsia="標楷體" w:hAnsi="Times New Roman" w:cs="Times New Roman"/>
          <w:color w:val="000000"/>
        </w:rPr>
        <w:t>學分</w:t>
      </w:r>
      <w:r w:rsidRPr="00F27D19">
        <w:rPr>
          <w:rFonts w:ascii="Times New Roman" w:eastAsia="標楷體" w:hAnsi="Times New Roman" w:cs="Times New Roman"/>
          <w:color w:val="000000"/>
        </w:rPr>
        <w:t>)</w:t>
      </w:r>
      <w:r w:rsidRPr="00F27D19">
        <w:rPr>
          <w:rFonts w:ascii="Times New Roman" w:eastAsia="標楷體" w:hAnsi="Times New Roman" w:cs="Times New Roman"/>
          <w:color w:val="000000"/>
        </w:rPr>
        <w:t>，學生修習跨域學程，其課程將包含所屬學系（以下簡稱本系）的跨域學程模組課程以及第二專長系所或學院的跨域學程模組課程，並可於畢業證書上</w:t>
      </w:r>
      <w:r w:rsidRPr="00F27D19">
        <w:rPr>
          <w:rFonts w:ascii="Times New Roman" w:eastAsia="標楷體" w:hAnsi="Times New Roman" w:cs="Times New Roman"/>
          <w:color w:val="000000"/>
        </w:rPr>
        <w:t xml:space="preserve"> </w:t>
      </w:r>
      <w:r w:rsidRPr="00F27D19">
        <w:rPr>
          <w:rFonts w:ascii="Times New Roman" w:eastAsia="標楷體" w:hAnsi="Times New Roman" w:cs="Times New Roman"/>
          <w:color w:val="000000"/>
        </w:rPr>
        <w:t>加註第二專長模組課程為「跨域專長」。</w:t>
      </w:r>
    </w:p>
    <w:p w:rsidR="00597E67" w:rsidRPr="00F27D19" w:rsidRDefault="001C5E56" w:rsidP="00061AFE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Two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1131B1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1131B1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FA25F3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program here mean</w:t>
      </w:r>
      <w:bookmarkStart w:id="0" w:name="_GoBack"/>
      <w:bookmarkEnd w:id="0"/>
      <w:r w:rsidR="00FA25F3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 the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FA25F3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module curriculum proposed by the departments, </w:t>
      </w:r>
      <w:r w:rsidR="003A2548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institute</w:t>
      </w:r>
      <w:r w:rsidR="00FA25F3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 or colleges. </w:t>
      </w:r>
      <w:r w:rsidR="00313630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Module curriculum should include the </w:t>
      </w:r>
      <w:r w:rsidR="00AC246A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core knowledge curriculum</w:t>
      </w:r>
      <w:r w:rsidR="00752EB8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of the field and the total credits will be based on 30 credits (the minimum 28 credits and no more than 32 credits). </w:t>
      </w:r>
      <w:r w:rsidR="00B0749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B0749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 that students take will include the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B0749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 module curriculum of the department they are from (hereinafter refer to </w:t>
      </w:r>
      <w:r w:rsidR="00E240B6" w:rsidRP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the original </w:t>
      </w:r>
      <w:r w:rsidR="008337A1" w:rsidRP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d</w:t>
      </w:r>
      <w:r w:rsidR="00B0749C" w:rsidRPr="00193B1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epartment</w:t>
      </w:r>
      <w:r w:rsidR="00B0749C" w:rsidRPr="00B043E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)</w:t>
      </w:r>
      <w:r w:rsidR="00B0749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as well as </w:t>
      </w:r>
      <w:r w:rsidR="002A218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2A218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 module curriculum from the second specialty department or college. </w:t>
      </w:r>
      <w:r w:rsidR="005D2F4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The module curriculum of the second specialty could be remarked as “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77548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specialty” on the</w:t>
      </w:r>
      <w:r w:rsidR="003A2548" w:rsidRPr="003A2548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3A2548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d</w:t>
      </w:r>
      <w:r w:rsidR="003A2548" w:rsidRPr="003A2548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iploma</w:t>
      </w:r>
      <w:r w:rsidR="0077548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第三條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學生修習跨域學程須向本系以及第二專長的系所或學院申請通過，跨域學程的課程包含</w:t>
      </w:r>
      <w:r w:rsidRPr="00F27D19">
        <w:rPr>
          <w:rFonts w:ascii="Times New Roman" w:eastAsia="標楷體" w:hAnsi="Times New Roman" w:cs="Times New Roman"/>
          <w:color w:val="000000"/>
        </w:rPr>
        <w:t>:</w:t>
      </w:r>
      <w:r w:rsidRPr="00F27D19">
        <w:rPr>
          <w:rFonts w:ascii="Times New Roman" w:eastAsia="標楷體" w:hAnsi="Times New Roman" w:cs="Times New Roman"/>
          <w:color w:val="000000"/>
        </w:rPr>
        <w:t>校必修</w:t>
      </w:r>
      <w:r w:rsidRPr="00F27D19">
        <w:rPr>
          <w:rFonts w:ascii="Times New Roman" w:eastAsia="標楷體" w:hAnsi="Times New Roman" w:cs="Times New Roman"/>
          <w:color w:val="000000"/>
        </w:rPr>
        <w:t>(</w:t>
      </w:r>
      <w:r w:rsidRPr="00F27D19">
        <w:rPr>
          <w:rFonts w:ascii="Times New Roman" w:eastAsia="標楷體" w:hAnsi="Times New Roman" w:cs="Times New Roman"/>
          <w:color w:val="000000"/>
        </w:rPr>
        <w:t>含共同必修</w:t>
      </w:r>
      <w:r w:rsidRPr="00F27D19">
        <w:rPr>
          <w:rFonts w:ascii="Times New Roman" w:eastAsia="標楷體" w:hAnsi="Times New Roman" w:cs="Times New Roman"/>
          <w:color w:val="000000"/>
        </w:rPr>
        <w:t>28</w:t>
      </w:r>
      <w:r w:rsidRPr="00F27D19">
        <w:rPr>
          <w:rFonts w:ascii="Times New Roman" w:eastAsia="標楷體" w:hAnsi="Times New Roman" w:cs="Times New Roman"/>
          <w:color w:val="000000"/>
        </w:rPr>
        <w:t>學分</w:t>
      </w:r>
      <w:r w:rsidRPr="00F27D19">
        <w:rPr>
          <w:rFonts w:ascii="Times New Roman" w:eastAsia="標楷體" w:hAnsi="Times New Roman" w:cs="Times New Roman"/>
          <w:color w:val="000000"/>
        </w:rPr>
        <w:t>)</w:t>
      </w:r>
      <w:r w:rsidRPr="00F27D19">
        <w:rPr>
          <w:rFonts w:ascii="Times New Roman" w:eastAsia="標楷體" w:hAnsi="Times New Roman" w:cs="Times New Roman"/>
          <w:color w:val="000000"/>
        </w:rPr>
        <w:t>，本系的基礎必修課程，本系的跨域學程模組課程，以及第二專長系所或學院的跨域學程模組課程</w:t>
      </w:r>
      <w:r w:rsidRPr="00F27D19">
        <w:rPr>
          <w:rFonts w:ascii="Times New Roman" w:eastAsia="標楷體" w:hAnsi="Times New Roman" w:cs="Times New Roman"/>
          <w:color w:val="000000"/>
        </w:rPr>
        <w:t>(</w:t>
      </w:r>
      <w:r w:rsidRPr="00F27D19">
        <w:rPr>
          <w:rFonts w:ascii="Times New Roman" w:eastAsia="標楷體" w:hAnsi="Times New Roman" w:cs="Times New Roman"/>
          <w:color w:val="000000"/>
        </w:rPr>
        <w:t>認定為跨域專長</w:t>
      </w:r>
      <w:r w:rsidRPr="00F27D19">
        <w:rPr>
          <w:rFonts w:ascii="Times New Roman" w:eastAsia="標楷體" w:hAnsi="Times New Roman" w:cs="Times New Roman"/>
          <w:color w:val="000000"/>
        </w:rPr>
        <w:t>)</w:t>
      </w:r>
      <w:r w:rsidRPr="00F27D19">
        <w:rPr>
          <w:rFonts w:ascii="Times New Roman" w:eastAsia="標楷體" w:hAnsi="Times New Roman" w:cs="Times New Roman"/>
          <w:color w:val="000000"/>
        </w:rPr>
        <w:t>。修習本學程的畢業學分以</w:t>
      </w:r>
      <w:r w:rsidRPr="00F27D19">
        <w:rPr>
          <w:rFonts w:ascii="Times New Roman" w:eastAsia="標楷體" w:hAnsi="Times New Roman" w:cs="Times New Roman"/>
          <w:color w:val="000000"/>
        </w:rPr>
        <w:t>128</w:t>
      </w:r>
      <w:r w:rsidRPr="00F27D19">
        <w:rPr>
          <w:rFonts w:ascii="Times New Roman" w:eastAsia="標楷體" w:hAnsi="Times New Roman" w:cs="Times New Roman"/>
          <w:color w:val="000000"/>
        </w:rPr>
        <w:t>學分為原則。</w:t>
      </w:r>
    </w:p>
    <w:p w:rsidR="00AE189E" w:rsidRPr="00193B1A" w:rsidRDefault="002D54C6" w:rsidP="00193B1A">
      <w:pPr>
        <w:pStyle w:val="Web"/>
        <w:shd w:val="clear" w:color="auto" w:fill="FFFFFF"/>
        <w:spacing w:before="0" w:beforeAutospacing="0" w:after="165" w:afterAutospacing="0" w:line="330" w:lineRule="atLeast"/>
        <w:ind w:left="1440" w:hanging="144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>Article Three</w:t>
      </w:r>
      <w:r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ab/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Students who would like to study for </w:t>
      </w:r>
      <w:r w:rsid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sz w:val="20"/>
          <w:szCs w:val="20"/>
        </w:rPr>
        <w:t>disciplinary</w:t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program must apply and</w:t>
      </w:r>
      <w:r w:rsidR="00B043E4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 xml:space="preserve"> be</w:t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approve</w:t>
      </w:r>
      <w:r w:rsidR="00B043E4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d</w:t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by our department and the department or college of the second specialty. The curriculum of the </w:t>
      </w:r>
      <w:r w:rsid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sz w:val="20"/>
          <w:szCs w:val="20"/>
        </w:rPr>
        <w:t>disciplinary</w:t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</w:t>
      </w:r>
      <w:r w:rsidR="00B043E4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 xml:space="preserve">program </w:t>
      </w:r>
      <w:r w:rsidR="00AF1B4B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must include compulsory courses at the university (including 28 credits of </w:t>
      </w:r>
      <w:r w:rsidR="00FC4EC3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>common comp</w:t>
      </w:r>
      <w:r w:rsidR="00A71DC1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ulsory), </w:t>
      </w:r>
      <w:r w:rsidR="00EC3179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core curriculum of </w:t>
      </w:r>
      <w:r w:rsidR="00E240B6" w:rsidRP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the original</w:t>
      </w:r>
      <w:r w:rsidR="00EC3179" w:rsidRPr="00193B1A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department</w:t>
      </w:r>
      <w:r w:rsidR="00EC3179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, </w:t>
      </w:r>
      <w:r w:rsid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sz w:val="20"/>
          <w:szCs w:val="20"/>
        </w:rPr>
        <w:t>disciplinary</w:t>
      </w:r>
      <w:r w:rsidR="00EC3179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program module curriculum of </w:t>
      </w:r>
      <w:r w:rsidR="00E240B6" w:rsidRP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the original</w:t>
      </w:r>
      <w:r w:rsidR="00EC3179" w:rsidRPr="00193B1A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department</w:t>
      </w:r>
      <w:r w:rsidR="00EC3179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, and </w:t>
      </w:r>
      <w:r w:rsidR="009B3A3F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the </w:t>
      </w:r>
      <w:r w:rsid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sz w:val="20"/>
          <w:szCs w:val="20"/>
        </w:rPr>
        <w:t>disciplinary</w:t>
      </w:r>
      <w:r w:rsidR="009B3A3F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program module curriculum of the second specialty department or college (</w:t>
      </w:r>
      <w:r w:rsidR="0004352A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recognized as </w:t>
      </w:r>
      <w:r w:rsidR="00193B1A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sz w:val="20"/>
          <w:szCs w:val="20"/>
        </w:rPr>
        <w:t>disciplinary</w:t>
      </w:r>
      <w:r w:rsidR="0004352A" w:rsidRPr="00F27D19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 specialty). </w:t>
      </w:r>
      <w:r w:rsidR="005A613D" w:rsidRPr="00193B1A">
        <w:rPr>
          <w:rFonts w:ascii="Times New Roman" w:eastAsia="標楷體" w:hAnsi="Times New Roman" w:cs="Times New Roman"/>
          <w:sz w:val="20"/>
          <w:szCs w:val="20"/>
        </w:rPr>
        <w:t xml:space="preserve">The graduate credit needed for this </w:t>
      </w:r>
      <w:r w:rsidR="00BC1D2E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cross-disciplinary</w:t>
      </w:r>
      <w:r w:rsidR="005A613D" w:rsidRPr="00193B1A">
        <w:rPr>
          <w:rFonts w:ascii="Times New Roman" w:eastAsia="標楷體" w:hAnsi="Times New Roman" w:cs="Times New Roman"/>
          <w:sz w:val="20"/>
          <w:szCs w:val="20"/>
        </w:rPr>
        <w:t xml:space="preserve"> program is</w:t>
      </w:r>
      <w:r w:rsidR="00B043E4" w:rsidRPr="00193B1A">
        <w:rPr>
          <w:rFonts w:ascii="Times New Roman" w:eastAsia="標楷體" w:hAnsi="Times New Roman" w:cs="Times New Roman" w:hint="eastAsia"/>
          <w:sz w:val="20"/>
          <w:szCs w:val="20"/>
        </w:rPr>
        <w:t xml:space="preserve"> at the basis of</w:t>
      </w:r>
      <w:r w:rsidR="005A613D" w:rsidRPr="00193B1A">
        <w:rPr>
          <w:rFonts w:ascii="Times New Roman" w:eastAsia="標楷體" w:hAnsi="Times New Roman" w:cs="Times New Roman"/>
          <w:sz w:val="20"/>
          <w:szCs w:val="20"/>
        </w:rPr>
        <w:t xml:space="preserve"> 128 credits.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第四條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參與本學程的系所或學院，具體實施方式包含兩種，第一種為規劃跨域學程模組課程，提供本校外系學生修讀，第二種為制定相關辦法，開放本系學生修讀跨域學程，系所或學院可依其需求，將兩種實施方式同時施行，或擇一施行。</w:t>
      </w:r>
    </w:p>
    <w:p w:rsidR="005A613D" w:rsidRPr="00F27D19" w:rsidRDefault="002B03F9" w:rsidP="00A95EA8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Four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400B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The</w:t>
      </w:r>
      <w:r w:rsidR="00B043E4" w:rsidRPr="00B043E4">
        <w:t xml:space="preserve"> </w:t>
      </w:r>
      <w:r w:rsidR="00B043E4" w:rsidRPr="00B043E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methods of implementation </w:t>
      </w:r>
      <w:r w:rsidR="00400B6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for departments or colleges participated in the program includes tw</w:t>
      </w:r>
      <w:r w:rsidR="00B02B5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o approaches</w:t>
      </w:r>
      <w:r w:rsidR="006900D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.</w:t>
      </w:r>
      <w:r w:rsidR="00B02B5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One is to plan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B02B5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 module curriculum in order to provide for the students from other departments</w:t>
      </w:r>
      <w:r w:rsidR="00B043E4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and colleges</w:t>
      </w:r>
      <w:r w:rsidR="00B02B5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in our university, and the other is to set up relevant 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regulation</w:t>
      </w:r>
      <w:r w:rsidR="00B02B5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 and open </w:t>
      </w:r>
      <w:r w:rsidR="0051789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it to the students at </w:t>
      </w:r>
      <w:r w:rsidR="00E240B6" w:rsidRP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the original</w:t>
      </w:r>
      <w:r w:rsidR="00517892" w:rsidRPr="00193B1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department</w:t>
      </w:r>
      <w:r w:rsidR="0051789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to study for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51789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program. </w:t>
      </w:r>
      <w:r w:rsidR="00E240B6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The d</w:t>
      </w:r>
      <w:r w:rsidR="000914F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epartments or colleges could implement the two approaches at the same time or choose one</w:t>
      </w:r>
      <w:r w:rsidR="00E240B6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of it</w:t>
      </w:r>
      <w:r w:rsidR="000914F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for implementation </w:t>
      </w:r>
      <w:r w:rsidR="00E240B6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based on</w:t>
      </w:r>
      <w:r w:rsidR="000914F2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their demand.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lastRenderedPageBreak/>
        <w:t>第五條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參與本學程的系所或學院，可不針對特定合作系所或學院來施行跨域學程，也可針對特定合作系所或學院來施行跨域學程。</w:t>
      </w:r>
    </w:p>
    <w:p w:rsidR="000914F2" w:rsidRPr="00F27D19" w:rsidRDefault="00DA2B78" w:rsidP="00DF49B5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Five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DF49B5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The departments or colleges participated in the program could choose</w:t>
      </w:r>
      <w:r w:rsidR="000500C8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DF49B5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to work with </w:t>
      </w:r>
      <w:r w:rsidR="0026319C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all</w:t>
      </w:r>
      <w:r w:rsidR="00DF49B5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cooperated departments or colleges for</w:t>
      </w:r>
      <w:r w:rsidR="00193B1A" w:rsidRP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DF49B5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 or choose to work with particular cooperated departments or colleges for</w:t>
      </w:r>
      <w:r w:rsidR="0026319C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193B1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</w:t>
      </w:r>
      <w:r w:rsidR="0021425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disciplinary</w:t>
      </w:r>
      <w:r w:rsidR="00DF49B5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第六條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參與本學程的系所或學院，需指定一名專任教師擔任本學程導師組成導師群，專責輔導本學程學生。</w:t>
      </w:r>
    </w:p>
    <w:p w:rsidR="00DF49B5" w:rsidRPr="00F27D19" w:rsidRDefault="003860E6" w:rsidP="00A173BC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Six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340749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departments or colleges participated in this program must assign one full-time teacher to work at mentor groups for the program to </w:t>
      </w:r>
      <w:r w:rsidR="00A173B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give guidance to the students at th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is</w:t>
      </w:r>
      <w:r w:rsidR="00A173BC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program.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第七條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為鼓勵不同系所或學院合作提出跨域共授課程，由兩位以上教師開授跨領域之創新整合式課程，得依本校教師授課鐘點核計原則第九條第六款規定，教師的授課鐘點數可按到場時數計，但以開課前該門課程之實際簽呈為依據。</w:t>
      </w:r>
    </w:p>
    <w:p w:rsidR="00BB43B6" w:rsidRPr="00F27D19" w:rsidRDefault="00A173BC" w:rsidP="00BB43B6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Seven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C20D3F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In order to encourage different department</w:t>
      </w:r>
      <w:r w:rsidR="008527CA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</w:t>
      </w:r>
      <w:r w:rsidR="00C20D3F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or colleges working together for the proposal of </w:t>
      </w:r>
      <w:r w:rsidR="00BC1D2E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cross-disciplinary</w:t>
      </w:r>
      <w:r w:rsidR="00C20D3F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8527CA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curriculum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,</w:t>
      </w:r>
      <w:r w:rsidR="008527CA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6E4837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the n</w:t>
      </w:r>
      <w:r w:rsidR="006E4837" w:rsidRPr="006E483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umber of teaching hours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for the innovating integrated curriculum offered by more than two teachers could be calculated by</w:t>
      </w:r>
      <w:r w:rsidR="006E4837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the actual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6E4837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time of teaching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according to </w:t>
      </w:r>
      <w:r w:rsidR="005D660C" w:rsidRPr="005D660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Subparagraph</w:t>
      </w:r>
      <w:r w:rsidR="005D660C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6, 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9 of</w:t>
      </w:r>
      <w:r w:rsidR="00193B1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Nation</w:t>
      </w:r>
      <w:r w:rsidR="004D5958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al</w:t>
      </w:r>
      <w:r w:rsidR="00193B1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Chiao Tung University Teaching Hours Accounting Principle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however, it will be </w:t>
      </w:r>
      <w:r w:rsidR="006E4837" w:rsidRPr="006E4837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in accordance with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the </w:t>
      </w:r>
      <w:r w:rsidR="00193B1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official </w:t>
      </w:r>
      <w:r w:rsidR="00F87FAF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approval</w:t>
      </w:r>
      <w:r w:rsidR="00BB43B6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of the curriculum before the course starts.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165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第八條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本辦法如有未盡事宜，悉依本校學則及其他相關規定辦理。</w:t>
      </w:r>
    </w:p>
    <w:p w:rsidR="005A414A" w:rsidRPr="00F27D19" w:rsidRDefault="00C6226B" w:rsidP="0014746E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Eight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BF47BD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If there is any unaccomplished matter of the 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regulation</w:t>
      </w:r>
      <w:r w:rsidR="00BF47BD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, </w:t>
      </w:r>
      <w:r w:rsidR="004E255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it </w:t>
      </w:r>
      <w:r w:rsidR="004E255A" w:rsidRPr="004E255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shall be handled in accordance with</w:t>
      </w:r>
      <w:r w:rsidR="00BF47BD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14746E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school constitution of our university as well as other relevant 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regulation</w:t>
      </w:r>
      <w:r w:rsidR="0014746E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s.</w:t>
      </w:r>
    </w:p>
    <w:p w:rsidR="00AE189E" w:rsidRPr="00F27D19" w:rsidRDefault="00AE189E" w:rsidP="00AE189E">
      <w:pPr>
        <w:pStyle w:val="Web"/>
        <w:shd w:val="clear" w:color="auto" w:fill="FFFFFF"/>
        <w:spacing w:before="0" w:beforeAutospacing="0" w:after="0" w:afterAutospacing="0" w:line="330" w:lineRule="atLeast"/>
        <w:rPr>
          <w:rFonts w:ascii="Times New Roman" w:eastAsia="標楷體" w:hAnsi="Times New Roman" w:cs="Times New Roman"/>
          <w:color w:val="000000"/>
        </w:rPr>
      </w:pPr>
      <w:r w:rsidRPr="00F27D19">
        <w:rPr>
          <w:rFonts w:ascii="Times New Roman" w:eastAsia="標楷體" w:hAnsi="Times New Roman" w:cs="Times New Roman"/>
          <w:color w:val="000000"/>
        </w:rPr>
        <w:t>第九條</w:t>
      </w:r>
      <w:r w:rsidRPr="00F27D19">
        <w:rPr>
          <w:rFonts w:ascii="Times New Roman" w:eastAsia="標楷體" w:hAnsi="Times New Roman" w:cs="Times New Roman"/>
          <w:color w:val="000000"/>
        </w:rPr>
        <w:t xml:space="preserve">  </w:t>
      </w:r>
      <w:r w:rsidRPr="00F27D19">
        <w:rPr>
          <w:rFonts w:ascii="Times New Roman" w:eastAsia="標楷體" w:hAnsi="Times New Roman" w:cs="Times New Roman"/>
          <w:color w:val="000000"/>
        </w:rPr>
        <w:t>本辦法經教務會議通過後實施，修訂時亦同。</w:t>
      </w:r>
    </w:p>
    <w:p w:rsidR="00193B1A" w:rsidRPr="00193B1A" w:rsidRDefault="0014746E" w:rsidP="00193B1A">
      <w:pPr>
        <w:widowControl/>
        <w:shd w:val="clear" w:color="auto" w:fill="FFFFFF"/>
        <w:spacing w:line="330" w:lineRule="atLeast"/>
        <w:ind w:left="1400" w:hanging="1400"/>
        <w:jc w:val="both"/>
        <w:outlineLvl w:val="3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Article Nine</w:t>
      </w:r>
      <w:r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ab/>
      </w:r>
      <w:r w:rsidR="00AB564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The </w:t>
      </w:r>
      <w:r w:rsidR="0067103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regulation</w:t>
      </w:r>
      <w:r w:rsidR="00AB564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is approved by Academic Affairs Meeting befor</w:t>
      </w:r>
      <w:r w:rsidR="004E255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e putting it into practice, and</w:t>
      </w:r>
      <w:r w:rsidR="004E255A" w:rsidRPr="004E255A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shall do the same upon any amendment thereto</w:t>
      </w:r>
      <w:r w:rsidR="00AB5647" w:rsidRPr="00F27D19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.</w:t>
      </w:r>
    </w:p>
    <w:sectPr w:rsidR="00193B1A" w:rsidRPr="00193B1A" w:rsidSect="009B5B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05" w:rsidRDefault="00A33405" w:rsidP="00193B1A">
      <w:r>
        <w:separator/>
      </w:r>
    </w:p>
  </w:endnote>
  <w:endnote w:type="continuationSeparator" w:id="0">
    <w:p w:rsidR="00A33405" w:rsidRDefault="00A33405" w:rsidP="0019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05" w:rsidRDefault="00A33405" w:rsidP="00193B1A">
      <w:r>
        <w:separator/>
      </w:r>
    </w:p>
  </w:footnote>
  <w:footnote w:type="continuationSeparator" w:id="0">
    <w:p w:rsidR="00A33405" w:rsidRDefault="00A33405" w:rsidP="0019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66"/>
    <w:rsid w:val="0004352A"/>
    <w:rsid w:val="000500C8"/>
    <w:rsid w:val="00061AFE"/>
    <w:rsid w:val="000914F2"/>
    <w:rsid w:val="000A265E"/>
    <w:rsid w:val="000A74FF"/>
    <w:rsid w:val="000F1506"/>
    <w:rsid w:val="001131B1"/>
    <w:rsid w:val="00126DB9"/>
    <w:rsid w:val="001438AF"/>
    <w:rsid w:val="0014746E"/>
    <w:rsid w:val="00190BF4"/>
    <w:rsid w:val="00193B1A"/>
    <w:rsid w:val="001C5E56"/>
    <w:rsid w:val="00214251"/>
    <w:rsid w:val="0026319C"/>
    <w:rsid w:val="002A218C"/>
    <w:rsid w:val="002B03F9"/>
    <w:rsid w:val="002D54C6"/>
    <w:rsid w:val="002E2B6C"/>
    <w:rsid w:val="00313630"/>
    <w:rsid w:val="00340749"/>
    <w:rsid w:val="003860E6"/>
    <w:rsid w:val="003972D6"/>
    <w:rsid w:val="003A2548"/>
    <w:rsid w:val="00400B67"/>
    <w:rsid w:val="0049486F"/>
    <w:rsid w:val="004D5958"/>
    <w:rsid w:val="004E255A"/>
    <w:rsid w:val="004E57E6"/>
    <w:rsid w:val="004F319C"/>
    <w:rsid w:val="00517892"/>
    <w:rsid w:val="00597E67"/>
    <w:rsid w:val="005A0A8B"/>
    <w:rsid w:val="005A414A"/>
    <w:rsid w:val="005A613D"/>
    <w:rsid w:val="005D2F47"/>
    <w:rsid w:val="005D660C"/>
    <w:rsid w:val="006415D0"/>
    <w:rsid w:val="0067103D"/>
    <w:rsid w:val="006900D2"/>
    <w:rsid w:val="006E4837"/>
    <w:rsid w:val="006F1DD5"/>
    <w:rsid w:val="00752EB8"/>
    <w:rsid w:val="00775489"/>
    <w:rsid w:val="008337A1"/>
    <w:rsid w:val="008527CA"/>
    <w:rsid w:val="008700A1"/>
    <w:rsid w:val="008A4DF0"/>
    <w:rsid w:val="008B3051"/>
    <w:rsid w:val="00901F50"/>
    <w:rsid w:val="00982866"/>
    <w:rsid w:val="009B3A3F"/>
    <w:rsid w:val="009B5B28"/>
    <w:rsid w:val="00A173BC"/>
    <w:rsid w:val="00A33405"/>
    <w:rsid w:val="00A6620B"/>
    <w:rsid w:val="00A71DC1"/>
    <w:rsid w:val="00A95EA8"/>
    <w:rsid w:val="00AB5647"/>
    <w:rsid w:val="00AC246A"/>
    <w:rsid w:val="00AE189E"/>
    <w:rsid w:val="00AE75CB"/>
    <w:rsid w:val="00AF1B4B"/>
    <w:rsid w:val="00B02B59"/>
    <w:rsid w:val="00B043E4"/>
    <w:rsid w:val="00B0749C"/>
    <w:rsid w:val="00B8691F"/>
    <w:rsid w:val="00BB43B6"/>
    <w:rsid w:val="00BC1D2E"/>
    <w:rsid w:val="00BF47BD"/>
    <w:rsid w:val="00C20D3F"/>
    <w:rsid w:val="00C6226B"/>
    <w:rsid w:val="00C957D4"/>
    <w:rsid w:val="00CA6631"/>
    <w:rsid w:val="00CA6C68"/>
    <w:rsid w:val="00D90D3E"/>
    <w:rsid w:val="00DA2B78"/>
    <w:rsid w:val="00DF49B5"/>
    <w:rsid w:val="00E240B6"/>
    <w:rsid w:val="00E759B8"/>
    <w:rsid w:val="00EC3179"/>
    <w:rsid w:val="00F2786B"/>
    <w:rsid w:val="00F27D19"/>
    <w:rsid w:val="00F87FAF"/>
    <w:rsid w:val="00FA25F3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3B6A8A-BF58-49BF-BD0F-573AA26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6F1DD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6F1DD5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1D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F1D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3B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3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tuinterdisciplinarylearning.simplesite.com/425915594/3603098/posting/%E5%9C%8B%E7%AB%8B%E4%BA%A4%E9%80%9A%E5%A4%A7%E5%AD%B8%E8%B7%A8%E5%9F%9F%E5%AD%B8%E7%A8%8B%E5%AF%A6%E6%96%BD%E8%BE%A6%E6%B3%95-%E6%AF%8D%E6%B3%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4118</Characters>
  <Application>Microsoft Office Word</Application>
  <DocSecurity>0</DocSecurity>
  <Lines>34</Lines>
  <Paragraphs>9</Paragraphs>
  <ScaleCrop>false</ScaleCrop>
  <Company>Toshiba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2016-05-12T08:47:00Z</dcterms:created>
  <dcterms:modified xsi:type="dcterms:W3CDTF">2016-05-12T09:00:00Z</dcterms:modified>
</cp:coreProperties>
</file>